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A53" w:rsidRPr="00890AEE" w:rsidRDefault="00E10979" w:rsidP="006F70C2">
      <w:pPr>
        <w:rPr>
          <w:rFonts w:cs="Times New Roman"/>
          <w:szCs w:val="24"/>
        </w:rPr>
      </w:pPr>
    </w:p>
    <w:p w:rsidR="007D5FF7" w:rsidRPr="00890AEE" w:rsidRDefault="007D5FF7" w:rsidP="006F70C2">
      <w:pPr>
        <w:rPr>
          <w:rFonts w:cs="Times New Roman"/>
          <w:szCs w:val="24"/>
        </w:rPr>
      </w:pPr>
    </w:p>
    <w:p w:rsidR="007D5FF7" w:rsidRPr="00890AEE" w:rsidRDefault="007D5FF7" w:rsidP="006F70C2">
      <w:pPr>
        <w:rPr>
          <w:rFonts w:cs="Times New Roman"/>
          <w:szCs w:val="24"/>
        </w:rPr>
      </w:pPr>
    </w:p>
    <w:p w:rsidR="007D5FF7" w:rsidRPr="00890AEE" w:rsidRDefault="007D5FF7" w:rsidP="006F70C2">
      <w:pPr>
        <w:rPr>
          <w:rFonts w:cs="Times New Roman"/>
          <w:szCs w:val="24"/>
        </w:rPr>
      </w:pPr>
    </w:p>
    <w:p w:rsidR="007D5FF7" w:rsidRPr="00890AEE" w:rsidRDefault="007D5FF7" w:rsidP="006F70C2">
      <w:pPr>
        <w:rPr>
          <w:rFonts w:cs="Times New Roman"/>
          <w:szCs w:val="24"/>
        </w:rPr>
      </w:pPr>
    </w:p>
    <w:p w:rsidR="007D5FF7" w:rsidRPr="00890AEE" w:rsidRDefault="007D5FF7" w:rsidP="006F70C2">
      <w:pPr>
        <w:rPr>
          <w:rFonts w:cs="Times New Roman"/>
          <w:szCs w:val="24"/>
        </w:rPr>
      </w:pPr>
    </w:p>
    <w:p w:rsidR="001C074F" w:rsidRPr="00890AEE" w:rsidRDefault="001C074F" w:rsidP="006F70C2">
      <w:pPr>
        <w:rPr>
          <w:rFonts w:cs="Times New Roman"/>
          <w:szCs w:val="24"/>
        </w:rPr>
      </w:pPr>
    </w:p>
    <w:p w:rsidR="001C074F" w:rsidRPr="00890AEE" w:rsidRDefault="001C074F" w:rsidP="006F70C2">
      <w:pPr>
        <w:rPr>
          <w:rFonts w:cs="Times New Roman"/>
          <w:szCs w:val="24"/>
        </w:rPr>
      </w:pPr>
    </w:p>
    <w:p w:rsidR="007D5FF7" w:rsidRPr="00890AEE" w:rsidRDefault="007D5FF7" w:rsidP="006F70C2">
      <w:pPr>
        <w:jc w:val="center"/>
        <w:rPr>
          <w:rFonts w:cs="Times New Roman"/>
          <w:szCs w:val="24"/>
        </w:rPr>
      </w:pPr>
      <w:r w:rsidRPr="00890AEE">
        <w:rPr>
          <w:rFonts w:cs="Times New Roman"/>
          <w:szCs w:val="24"/>
        </w:rPr>
        <w:t>Antigone.</w:t>
      </w:r>
    </w:p>
    <w:p w:rsidR="007D5FF7" w:rsidRPr="00890AEE" w:rsidRDefault="007D5FF7" w:rsidP="006F70C2">
      <w:pPr>
        <w:jc w:val="center"/>
        <w:rPr>
          <w:rFonts w:cs="Times New Roman"/>
          <w:szCs w:val="24"/>
        </w:rPr>
      </w:pPr>
      <w:r w:rsidRPr="00890AEE">
        <w:rPr>
          <w:rFonts w:cs="Times New Roman"/>
          <w:szCs w:val="24"/>
        </w:rPr>
        <w:t>Name.</w:t>
      </w:r>
    </w:p>
    <w:p w:rsidR="007D5FF7" w:rsidRPr="00890AEE" w:rsidRDefault="007D5FF7" w:rsidP="006F70C2">
      <w:pPr>
        <w:jc w:val="center"/>
        <w:rPr>
          <w:rFonts w:cs="Times New Roman"/>
          <w:szCs w:val="24"/>
        </w:rPr>
      </w:pPr>
      <w:r w:rsidRPr="00890AEE">
        <w:rPr>
          <w:rFonts w:cs="Times New Roman"/>
          <w:szCs w:val="24"/>
        </w:rPr>
        <w:t>Institution.</w:t>
      </w:r>
    </w:p>
    <w:p w:rsidR="007D5FF7" w:rsidRPr="00890AEE" w:rsidRDefault="007D5FF7" w:rsidP="006F70C2">
      <w:pPr>
        <w:jc w:val="center"/>
        <w:rPr>
          <w:rFonts w:cs="Times New Roman"/>
          <w:szCs w:val="24"/>
        </w:rPr>
      </w:pPr>
      <w:r w:rsidRPr="00890AEE">
        <w:rPr>
          <w:rFonts w:cs="Times New Roman"/>
          <w:szCs w:val="24"/>
        </w:rPr>
        <w:t>Date.</w:t>
      </w:r>
    </w:p>
    <w:p w:rsidR="007D5FF7" w:rsidRPr="00890AEE" w:rsidRDefault="007D5FF7" w:rsidP="006F70C2">
      <w:pPr>
        <w:rPr>
          <w:rFonts w:cs="Times New Roman"/>
          <w:szCs w:val="24"/>
        </w:rPr>
      </w:pPr>
    </w:p>
    <w:p w:rsidR="007D5FF7" w:rsidRPr="00890AEE" w:rsidRDefault="007D5FF7" w:rsidP="006F70C2">
      <w:pPr>
        <w:rPr>
          <w:rFonts w:cs="Times New Roman"/>
          <w:szCs w:val="24"/>
        </w:rPr>
      </w:pPr>
    </w:p>
    <w:p w:rsidR="007D5FF7" w:rsidRPr="00890AEE" w:rsidRDefault="007D5FF7" w:rsidP="006F70C2">
      <w:pPr>
        <w:rPr>
          <w:rFonts w:cs="Times New Roman"/>
          <w:szCs w:val="24"/>
        </w:rPr>
      </w:pPr>
    </w:p>
    <w:p w:rsidR="007D5FF7" w:rsidRPr="00890AEE" w:rsidRDefault="007D5FF7" w:rsidP="006F70C2">
      <w:pPr>
        <w:rPr>
          <w:rFonts w:cs="Times New Roman"/>
          <w:szCs w:val="24"/>
        </w:rPr>
      </w:pPr>
    </w:p>
    <w:p w:rsidR="007D5FF7" w:rsidRPr="00890AEE" w:rsidRDefault="007D5FF7" w:rsidP="006F70C2">
      <w:pPr>
        <w:rPr>
          <w:rFonts w:cs="Times New Roman"/>
          <w:szCs w:val="24"/>
        </w:rPr>
      </w:pPr>
    </w:p>
    <w:p w:rsidR="00890AEE" w:rsidRPr="00890AEE" w:rsidRDefault="00890AEE" w:rsidP="006965E4">
      <w:pPr>
        <w:ind w:firstLine="0"/>
        <w:jc w:val="center"/>
        <w:rPr>
          <w:rFonts w:cs="Times New Roman"/>
          <w:szCs w:val="24"/>
        </w:rPr>
      </w:pPr>
      <w:r w:rsidRPr="00890AEE">
        <w:rPr>
          <w:rFonts w:cs="Times New Roman"/>
          <w:szCs w:val="24"/>
        </w:rPr>
        <w:lastRenderedPageBreak/>
        <w:t>Antigone.</w:t>
      </w:r>
    </w:p>
    <w:p w:rsidR="00890AEE" w:rsidRPr="00890AEE" w:rsidRDefault="00890AEE" w:rsidP="00890AEE">
      <w:pPr>
        <w:rPr>
          <w:rFonts w:cs="Times New Roman"/>
          <w:szCs w:val="24"/>
        </w:rPr>
      </w:pPr>
      <w:r w:rsidRPr="00890AEE">
        <w:rPr>
          <w:rFonts w:cs="Times New Roman"/>
          <w:szCs w:val="24"/>
        </w:rPr>
        <w:t>In every ancient society, there is a story to be told. Antigone is one of the most famous myths in ancient Greece. Sophocles, a playwright, narrates the story</w:t>
      </w:r>
      <w:r w:rsidR="00A77A07">
        <w:rPr>
          <w:rFonts w:cs="Times New Roman"/>
          <w:szCs w:val="24"/>
        </w:rPr>
        <w:t xml:space="preserve"> on the </w:t>
      </w:r>
      <w:r w:rsidRPr="00890AEE">
        <w:rPr>
          <w:rFonts w:cs="Times New Roman"/>
          <w:szCs w:val="24"/>
        </w:rPr>
        <w:t>hero</w:t>
      </w:r>
      <w:r w:rsidR="00A77A07">
        <w:rPr>
          <w:rFonts w:cs="Times New Roman"/>
          <w:szCs w:val="24"/>
        </w:rPr>
        <w:t xml:space="preserve"> named</w:t>
      </w:r>
      <w:r w:rsidRPr="00890AEE">
        <w:rPr>
          <w:rFonts w:cs="Times New Roman"/>
          <w:szCs w:val="24"/>
        </w:rPr>
        <w:t xml:space="preserve"> Antigone. Antigone was born of the </w:t>
      </w:r>
      <w:r w:rsidR="00372EFF" w:rsidRPr="00890AEE">
        <w:rPr>
          <w:rFonts w:cs="Times New Roman"/>
          <w:szCs w:val="24"/>
        </w:rPr>
        <w:t>unknowingly</w:t>
      </w:r>
      <w:r w:rsidRPr="00890AEE">
        <w:rPr>
          <w:rFonts w:cs="Times New Roman"/>
          <w:szCs w:val="24"/>
        </w:rPr>
        <w:t xml:space="preserve"> incestuous union of Oedipus and her mother, Jocasta (Cairns, 2016). Antigone’s father blinded himself after </w:t>
      </w:r>
      <w:r w:rsidR="00372EFF" w:rsidRPr="00890AEE">
        <w:rPr>
          <w:rFonts w:cs="Times New Roman"/>
          <w:szCs w:val="24"/>
        </w:rPr>
        <w:t>learning</w:t>
      </w:r>
      <w:r w:rsidRPr="00890AEE">
        <w:rPr>
          <w:rFonts w:cs="Times New Roman"/>
          <w:szCs w:val="24"/>
        </w:rPr>
        <w:t xml:space="preserve"> that Jocasta was his mother, Antigone and her sister Ismene serve as Oedipus advisors and follow him from Thebes into exile until he dies near Athens.  At this time a quarrel exists between Antigone’s brothers Eteocles and Polyneices. Eteocles is fighting to defend his crown while Polyneices is attacking Thebes using the foreign army. A civil war over leadership is real between the two brothers until they killed each other.</w:t>
      </w:r>
    </w:p>
    <w:p w:rsidR="00890AEE" w:rsidRPr="00890AEE" w:rsidRDefault="00890AEE" w:rsidP="00890AEE">
      <w:pPr>
        <w:rPr>
          <w:rFonts w:cs="Times New Roman"/>
          <w:szCs w:val="24"/>
        </w:rPr>
      </w:pPr>
      <w:r w:rsidRPr="00890AEE">
        <w:rPr>
          <w:rFonts w:cs="Times New Roman"/>
          <w:szCs w:val="24"/>
        </w:rPr>
        <w:t xml:space="preserve">At the same time, there is no other man in the family who can take over the kingdom of Thebes as a king, </w:t>
      </w:r>
      <w:r w:rsidR="00D529D1" w:rsidRPr="00890AEE">
        <w:rPr>
          <w:rFonts w:cs="Times New Roman"/>
          <w:szCs w:val="24"/>
        </w:rPr>
        <w:t>Creon;</w:t>
      </w:r>
      <w:r w:rsidRPr="00890AEE">
        <w:rPr>
          <w:rFonts w:cs="Times New Roman"/>
          <w:szCs w:val="24"/>
        </w:rPr>
        <w:t xml:space="preserve"> Antigone’s uncle is named king. Surprisingly, King Creon commands that Eteocles be buried and forbids the removal of Polyneices corpse and regards him as a traitor. Antigone, who has just returned </w:t>
      </w:r>
      <w:r w:rsidR="00A77A07" w:rsidRPr="00890AEE">
        <w:rPr>
          <w:rFonts w:cs="Times New Roman"/>
          <w:szCs w:val="24"/>
        </w:rPr>
        <w:t>home,</w:t>
      </w:r>
      <w:r w:rsidRPr="00890AEE">
        <w:rPr>
          <w:rFonts w:cs="Times New Roman"/>
          <w:szCs w:val="24"/>
        </w:rPr>
        <w:t xml:space="preserve"> is very much upset by the king’s decision, and she decides to bury Polyneices secretly. Whenever Antigone’s name is mentioned in Greece, so many people think of love she had for her family. It was so hard for Antigone to convince the public that her family has the power to rule especially when her brothers have already killed each other (Cairns, 2016). Much of the blame is being counted on Polyneices who enters the palace with an invading army, and due to this reason, King Creon orders his body to remain unburied as a way of punishing him.</w:t>
      </w:r>
    </w:p>
    <w:p w:rsidR="00890AEE" w:rsidRPr="00890AEE" w:rsidRDefault="00890AEE" w:rsidP="00890AEE">
      <w:pPr>
        <w:rPr>
          <w:rFonts w:cs="Times New Roman"/>
          <w:szCs w:val="24"/>
        </w:rPr>
      </w:pPr>
      <w:r w:rsidRPr="00890AEE">
        <w:rPr>
          <w:rFonts w:cs="Times New Roman"/>
          <w:szCs w:val="24"/>
        </w:rPr>
        <w:t xml:space="preserve">Antigone and Ismene chose different paths toward their family since Ismene admitted what their </w:t>
      </w:r>
      <w:r w:rsidR="00A77A07" w:rsidRPr="00890AEE">
        <w:rPr>
          <w:rFonts w:cs="Times New Roman"/>
          <w:szCs w:val="24"/>
        </w:rPr>
        <w:t>Uncle</w:t>
      </w:r>
      <w:r w:rsidRPr="00890AEE">
        <w:rPr>
          <w:rFonts w:cs="Times New Roman"/>
          <w:szCs w:val="24"/>
        </w:rPr>
        <w:t xml:space="preserve"> Creon commanded while Antigone is upset by the same. Stubbornly, Antigone </w:t>
      </w:r>
      <w:r w:rsidRPr="00890AEE">
        <w:rPr>
          <w:rFonts w:cs="Times New Roman"/>
          <w:szCs w:val="24"/>
        </w:rPr>
        <w:lastRenderedPageBreak/>
        <w:t>defies her uncle, Creon by secretly burying her Polyneices to show loyalty to her family and respect to the divine law. Antigone’s actions are the beginning of her painful experience, as overwhelming despair, King Creon discovers that he has made a poor decision, but it is too late to correct that. Blindly, the king did the worst when he orders Antigone to be executed. Creon is so merciless that he has passed a death sentence to his niece.</w:t>
      </w:r>
    </w:p>
    <w:p w:rsidR="00890AEE" w:rsidRPr="00890AEE" w:rsidRDefault="00890AEE" w:rsidP="00890AEE">
      <w:pPr>
        <w:rPr>
          <w:rFonts w:cs="Times New Roman"/>
          <w:szCs w:val="24"/>
        </w:rPr>
      </w:pPr>
      <w:r w:rsidRPr="00890AEE">
        <w:rPr>
          <w:rFonts w:cs="Times New Roman"/>
          <w:szCs w:val="24"/>
        </w:rPr>
        <w:t>Marriage has always been termed as the best unifying factor for families since ancient times just as Sophocles puts it clear that Antigone was already engaged to Haemon, Creon’s son. When Haemon learns of the sentence passed by his father towards her fiancée, Antigone, he tries to convince his father Creon to change his mind. Miraculously, the seer Tiresias appears and helps Haemon to convince the king Creon. After a long discussion, they come into terms that Antigone will not be executed.</w:t>
      </w:r>
    </w:p>
    <w:p w:rsidR="00890AEE" w:rsidRPr="00890AEE" w:rsidRDefault="00890AEE" w:rsidP="00890AEE">
      <w:pPr>
        <w:rPr>
          <w:rFonts w:cs="Times New Roman"/>
          <w:szCs w:val="24"/>
        </w:rPr>
      </w:pPr>
      <w:r w:rsidRPr="00890AEE">
        <w:rPr>
          <w:rFonts w:cs="Times New Roman"/>
          <w:szCs w:val="24"/>
        </w:rPr>
        <w:t>Antigone is scared of the king’s promises since she knew that Creon always kept his word. She then decides to commit suicide. It is true that in the play, every tragedy is followed by tragedy since when Haemon found the hanging body of Antigone he too commits suicide. The sad news about Haemon’s demise reaches his mother, Creon’s wife. She mourns tirelessly until when she too decided to kill herself.</w:t>
      </w:r>
    </w:p>
    <w:p w:rsidR="00890AEE" w:rsidRPr="00890AEE" w:rsidRDefault="00890AEE" w:rsidP="00890AEE">
      <w:pPr>
        <w:rPr>
          <w:rFonts w:cs="Times New Roman"/>
          <w:szCs w:val="24"/>
        </w:rPr>
      </w:pPr>
      <w:r w:rsidRPr="00890AEE">
        <w:rPr>
          <w:rFonts w:cs="Times New Roman"/>
          <w:szCs w:val="24"/>
        </w:rPr>
        <w:t xml:space="preserve">There are several themes in Antigone Greek mythology by Sophocles’. The theme of civil disobedience is clearly portrayed when Antigone buries Polyneices despite the king’s order that no one has the right to bury him (Brown, 2016). Antigone does what she thinks is right for her family since she argues that everyone deserves a burial rite as a way of honor no matter the mistakes they make during their lifetime. This theme is well illustrated by Creon since he knows that Polyneices has to be honored by burying him as it is a role of the Greek government to bury </w:t>
      </w:r>
      <w:r w:rsidRPr="00890AEE">
        <w:rPr>
          <w:rFonts w:cs="Times New Roman"/>
          <w:szCs w:val="24"/>
        </w:rPr>
        <w:lastRenderedPageBreak/>
        <w:t>its citizens, but Creon argues that the case of Polynieces is different since he attacks Thebes with a foreign army. Antigone does not admit this fact and goes</w:t>
      </w:r>
      <w:r w:rsidR="00A77A07">
        <w:rPr>
          <w:rFonts w:cs="Times New Roman"/>
          <w:szCs w:val="24"/>
        </w:rPr>
        <w:t xml:space="preserve"> on his</w:t>
      </w:r>
      <w:r w:rsidRPr="00890AEE">
        <w:rPr>
          <w:rFonts w:cs="Times New Roman"/>
          <w:szCs w:val="24"/>
        </w:rPr>
        <w:t xml:space="preserve"> own to bury her brother.                                                                                                                                            </w:t>
      </w:r>
    </w:p>
    <w:p w:rsidR="00890AEE" w:rsidRPr="00890AEE" w:rsidRDefault="00890AEE" w:rsidP="00890AEE">
      <w:pPr>
        <w:rPr>
          <w:rFonts w:cs="Times New Roman"/>
          <w:szCs w:val="24"/>
        </w:rPr>
      </w:pPr>
      <w:r w:rsidRPr="00890AEE">
        <w:rPr>
          <w:rFonts w:cs="Times New Roman"/>
          <w:szCs w:val="24"/>
        </w:rPr>
        <w:t>Fate and free will is another evident theme in Antigone since there is a lot of tension between what one decides to do and fate (Goheen, 2017).  Antigone decides to defy the king’s edict, which later forces her to choose a wrong path of committing suicide. The importance of fate is clearly illustrated by Sophocles in his play when he argues that a character cannot be entirely responsible for all their actions. It is through free will that Oedipus marries his mother, and he finally blinds himself due to his choices.</w:t>
      </w:r>
    </w:p>
    <w:p w:rsidR="00890AEE" w:rsidRPr="00890AEE" w:rsidRDefault="00890AEE" w:rsidP="00890AEE">
      <w:pPr>
        <w:rPr>
          <w:rFonts w:cs="Times New Roman"/>
          <w:szCs w:val="24"/>
        </w:rPr>
      </w:pPr>
      <w:r w:rsidRPr="00890AEE">
        <w:rPr>
          <w:rFonts w:cs="Times New Roman"/>
          <w:szCs w:val="24"/>
        </w:rPr>
        <w:t>Rule and order is also a theme in Antigone. Religious rules are seen when the seer advices Creon that refusing the burial of Polyneices is forbidden by the gods, and this makes Cleon change his mind. A man also makes laws in Antigone since Cleon is passing a judgment of having Antigone killed as well as the Corpse of Polyneices unburied.  Rites and traditions are also expressed in the Sophocles’ play, Antigone, by the act of honoring the dead by burying them.</w:t>
      </w:r>
    </w:p>
    <w:p w:rsidR="00890AEE" w:rsidRPr="00890AEE" w:rsidRDefault="00890AEE" w:rsidP="00890AEE">
      <w:pPr>
        <w:rPr>
          <w:rFonts w:cs="Times New Roman"/>
          <w:szCs w:val="24"/>
        </w:rPr>
      </w:pPr>
      <w:r w:rsidRPr="00890AEE">
        <w:rPr>
          <w:rFonts w:cs="Times New Roman"/>
          <w:szCs w:val="24"/>
        </w:rPr>
        <w:t>Antigone portrays the theme of determination to a certain extent. Determination is nearly a common trait in all character in Antigone. The two brothers Eteocles and Polyneices are very much determined to fight for the throne of Thebes. Polyneices very much wants that he attacks his brother via a foreign army (Goheen, 2017). However, determination can be confused with arrogance in the play. Antigone is determined to disobey laws which some people will say it is because she is arrogant while others will link this to her determination.</w:t>
      </w:r>
    </w:p>
    <w:p w:rsidR="00890AEE" w:rsidRPr="00890AEE" w:rsidRDefault="00890AEE" w:rsidP="00890AEE">
      <w:pPr>
        <w:rPr>
          <w:rFonts w:cs="Times New Roman"/>
          <w:szCs w:val="24"/>
        </w:rPr>
      </w:pPr>
      <w:r w:rsidRPr="00890AEE">
        <w:rPr>
          <w:rFonts w:cs="Times New Roman"/>
          <w:szCs w:val="24"/>
        </w:rPr>
        <w:t xml:space="preserve">Male chauvinism is shown in the play since the crown of Thebes is given to Creon, uncle to Antigone (Brown, 2016).  If the society was concerned with gender equality, the Antigone </w:t>
      </w:r>
      <w:r w:rsidRPr="00890AEE">
        <w:rPr>
          <w:rFonts w:cs="Times New Roman"/>
          <w:szCs w:val="24"/>
        </w:rPr>
        <w:lastRenderedPageBreak/>
        <w:t>should be the Queen. The theme of moral flexibility can be associated with several characters who change abruptly depending on the situations they are passing through (Hiscock, 2018). A good example is Cleon who changes his mind after being convinced by his son Haemon and the seer that he should forgive Antigone for burying her brother Polyneices against the law. Oedipus changes morally by making a decision to blind himself after coming to his consent that Jocasta is his mother.</w:t>
      </w:r>
    </w:p>
    <w:p w:rsidR="00D036EB" w:rsidRPr="00890AEE" w:rsidRDefault="00890AEE" w:rsidP="00890AEE">
      <w:pPr>
        <w:rPr>
          <w:rFonts w:cs="Times New Roman"/>
          <w:szCs w:val="24"/>
        </w:rPr>
      </w:pPr>
      <w:r w:rsidRPr="00890AEE">
        <w:rPr>
          <w:rFonts w:cs="Times New Roman"/>
          <w:szCs w:val="24"/>
        </w:rPr>
        <w:t>In conclusion, Sophocles play, Antigone, is educative since it elaborates that family is the bases of a great nation. For leadership to be concrete, it has to start at the lowest level which is the family. We also realize poor leadership affects the progress of the nation because when the Antigone brothers began quarreling the leadership of Thebes became a real disaster. Currently, so many people in the world are holding positions of leadership and are unable to make the right decision pertaining specific issues just as Creon was unable to make the right judgment on the case of Polyneices burial. Intellectual leaders should replace such leaders. Cases of suicide are also dominant in the play just as in real life, and this poses questions which demand answers as to why so many people are committing suicide (Hiscock, 2018).</w:t>
      </w:r>
    </w:p>
    <w:p w:rsidR="00E8553A" w:rsidRDefault="00E8553A" w:rsidP="00D036EB">
      <w:pPr>
        <w:rPr>
          <w:rFonts w:cs="Times New Roman"/>
          <w:szCs w:val="24"/>
        </w:rPr>
      </w:pPr>
    </w:p>
    <w:p w:rsidR="00BB4DD6" w:rsidRDefault="00BB4DD6" w:rsidP="00D036EB">
      <w:pPr>
        <w:rPr>
          <w:rFonts w:cs="Times New Roman"/>
          <w:szCs w:val="24"/>
        </w:rPr>
      </w:pPr>
    </w:p>
    <w:p w:rsidR="00BB4DD6" w:rsidRDefault="00BB4DD6" w:rsidP="00D036EB">
      <w:pPr>
        <w:rPr>
          <w:rFonts w:cs="Times New Roman"/>
          <w:szCs w:val="24"/>
        </w:rPr>
      </w:pPr>
    </w:p>
    <w:p w:rsidR="00BB4DD6" w:rsidRPr="00890AEE" w:rsidRDefault="00BB4DD6" w:rsidP="00D036EB">
      <w:pPr>
        <w:rPr>
          <w:rFonts w:cs="Times New Roman"/>
          <w:szCs w:val="24"/>
        </w:rPr>
      </w:pPr>
    </w:p>
    <w:p w:rsidR="00D036EB" w:rsidRPr="00890AEE" w:rsidRDefault="00D036EB" w:rsidP="00D036EB">
      <w:pPr>
        <w:rPr>
          <w:rFonts w:cs="Times New Roman"/>
          <w:szCs w:val="24"/>
        </w:rPr>
      </w:pPr>
    </w:p>
    <w:p w:rsidR="00D036EB" w:rsidRPr="00890AEE" w:rsidRDefault="00D036EB" w:rsidP="006F70C2">
      <w:pPr>
        <w:ind w:firstLine="0"/>
        <w:rPr>
          <w:rFonts w:cs="Times New Roman"/>
          <w:szCs w:val="24"/>
        </w:rPr>
      </w:pPr>
    </w:p>
    <w:p w:rsidR="00D036EB" w:rsidRPr="00890AEE" w:rsidRDefault="00D036EB" w:rsidP="006F70C2">
      <w:pPr>
        <w:jc w:val="center"/>
        <w:rPr>
          <w:rFonts w:cs="Times New Roman"/>
          <w:szCs w:val="24"/>
        </w:rPr>
      </w:pPr>
      <w:r w:rsidRPr="00890AEE">
        <w:rPr>
          <w:rFonts w:cs="Times New Roman"/>
          <w:szCs w:val="24"/>
        </w:rPr>
        <w:lastRenderedPageBreak/>
        <w:t>References.</w:t>
      </w:r>
    </w:p>
    <w:p w:rsidR="00BB4DD6" w:rsidRPr="00890AEE" w:rsidRDefault="00BB4DD6" w:rsidP="00BB4DD6">
      <w:pPr>
        <w:ind w:left="720" w:hanging="720"/>
        <w:rPr>
          <w:rFonts w:cs="Times New Roman"/>
          <w:color w:val="000000" w:themeColor="text1"/>
          <w:szCs w:val="24"/>
        </w:rPr>
      </w:pPr>
      <w:r w:rsidRPr="00890AEE">
        <w:rPr>
          <w:rFonts w:cs="Times New Roman"/>
          <w:color w:val="000000" w:themeColor="text1"/>
          <w:szCs w:val="24"/>
          <w:shd w:val="clear" w:color="auto" w:fill="FFFFFF"/>
        </w:rPr>
        <w:t>Brown, A. (2016). Foreign Bodies: Sophocles Antigone 1080-1083. </w:t>
      </w:r>
      <w:r w:rsidRPr="00890AEE">
        <w:rPr>
          <w:rFonts w:cs="Times New Roman"/>
          <w:i/>
          <w:iCs/>
          <w:color w:val="000000" w:themeColor="text1"/>
          <w:szCs w:val="24"/>
          <w:shd w:val="clear" w:color="auto" w:fill="FFFFFF"/>
        </w:rPr>
        <w:t>Mnemosyne</w:t>
      </w:r>
      <w:r w:rsidRPr="00890AEE">
        <w:rPr>
          <w:rFonts w:cs="Times New Roman"/>
          <w:color w:val="000000" w:themeColor="text1"/>
          <w:szCs w:val="24"/>
          <w:shd w:val="clear" w:color="auto" w:fill="FFFFFF"/>
        </w:rPr>
        <w:t>, </w:t>
      </w:r>
      <w:r w:rsidRPr="00890AEE">
        <w:rPr>
          <w:rFonts w:cs="Times New Roman"/>
          <w:i/>
          <w:iCs/>
          <w:color w:val="000000" w:themeColor="text1"/>
          <w:szCs w:val="24"/>
          <w:shd w:val="clear" w:color="auto" w:fill="FFFFFF"/>
        </w:rPr>
        <w:t>69</w:t>
      </w:r>
      <w:r w:rsidRPr="00890AEE">
        <w:rPr>
          <w:rFonts w:cs="Times New Roman"/>
          <w:color w:val="000000" w:themeColor="text1"/>
          <w:szCs w:val="24"/>
          <w:shd w:val="clear" w:color="auto" w:fill="FFFFFF"/>
        </w:rPr>
        <w:t>(1), 29-54.</w:t>
      </w:r>
    </w:p>
    <w:p w:rsidR="00BB4DD6" w:rsidRPr="00890AEE" w:rsidRDefault="00BB4DD6" w:rsidP="00BB4DD6">
      <w:pPr>
        <w:ind w:left="720" w:hanging="720"/>
        <w:rPr>
          <w:rFonts w:cs="Times New Roman"/>
          <w:color w:val="000000" w:themeColor="text1"/>
          <w:szCs w:val="24"/>
          <w:shd w:val="clear" w:color="auto" w:fill="FFFFFF"/>
        </w:rPr>
      </w:pPr>
      <w:r w:rsidRPr="00890AEE">
        <w:rPr>
          <w:rFonts w:cs="Times New Roman"/>
          <w:color w:val="000000" w:themeColor="text1"/>
          <w:szCs w:val="24"/>
          <w:shd w:val="clear" w:color="auto" w:fill="FFFFFF"/>
        </w:rPr>
        <w:t xml:space="preserve"> Cairns, D. (2016). </w:t>
      </w:r>
      <w:r w:rsidRPr="00890AEE">
        <w:rPr>
          <w:rFonts w:cs="Times New Roman"/>
          <w:i/>
          <w:iCs/>
          <w:color w:val="000000" w:themeColor="text1"/>
          <w:szCs w:val="24"/>
          <w:shd w:val="clear" w:color="auto" w:fill="FFFFFF"/>
        </w:rPr>
        <w:t>Sophocles: Antigone</w:t>
      </w:r>
      <w:r w:rsidRPr="00890AEE">
        <w:rPr>
          <w:rFonts w:cs="Times New Roman"/>
          <w:color w:val="000000" w:themeColor="text1"/>
          <w:szCs w:val="24"/>
          <w:shd w:val="clear" w:color="auto" w:fill="FFFFFF"/>
        </w:rPr>
        <w:t>. Bloomsbury Publishing.</w:t>
      </w:r>
    </w:p>
    <w:p w:rsidR="00BB4DD6" w:rsidRPr="00890AEE" w:rsidRDefault="00BB4DD6" w:rsidP="00BB4DD6">
      <w:pPr>
        <w:ind w:left="720" w:hanging="720"/>
        <w:rPr>
          <w:rFonts w:cs="Times New Roman"/>
          <w:color w:val="000000" w:themeColor="text1"/>
          <w:szCs w:val="24"/>
          <w:shd w:val="clear" w:color="auto" w:fill="FFFFFF"/>
        </w:rPr>
      </w:pPr>
      <w:r w:rsidRPr="00890AEE">
        <w:rPr>
          <w:rFonts w:cs="Times New Roman"/>
          <w:color w:val="000000" w:themeColor="text1"/>
          <w:szCs w:val="24"/>
          <w:shd w:val="clear" w:color="auto" w:fill="FFFFFF"/>
        </w:rPr>
        <w:t>Goheen, R.</w:t>
      </w:r>
      <w:bookmarkStart w:id="0" w:name="_GoBack"/>
      <w:bookmarkEnd w:id="0"/>
      <w:r w:rsidRPr="00890AEE">
        <w:rPr>
          <w:rFonts w:cs="Times New Roman"/>
          <w:color w:val="000000" w:themeColor="text1"/>
          <w:szCs w:val="24"/>
          <w:shd w:val="clear" w:color="auto" w:fill="FFFFFF"/>
        </w:rPr>
        <w:t xml:space="preserve"> F. (2017). </w:t>
      </w:r>
      <w:r w:rsidRPr="00890AEE">
        <w:rPr>
          <w:rFonts w:cs="Times New Roman"/>
          <w:i/>
          <w:iCs/>
          <w:color w:val="000000" w:themeColor="text1"/>
          <w:szCs w:val="24"/>
          <w:shd w:val="clear" w:color="auto" w:fill="FFFFFF"/>
        </w:rPr>
        <w:t>Imagery of Sophocles Antigone</w:t>
      </w:r>
      <w:r w:rsidRPr="00890AEE">
        <w:rPr>
          <w:rFonts w:cs="Times New Roman"/>
          <w:color w:val="000000" w:themeColor="text1"/>
          <w:szCs w:val="24"/>
          <w:shd w:val="clear" w:color="auto" w:fill="FFFFFF"/>
        </w:rPr>
        <w:t> (Vol. 4980). Princeton University Press.</w:t>
      </w:r>
    </w:p>
    <w:p w:rsidR="00BB4DD6" w:rsidRPr="00890AEE" w:rsidRDefault="00BB4DD6" w:rsidP="00BB4DD6">
      <w:pPr>
        <w:ind w:left="720" w:hanging="720"/>
        <w:rPr>
          <w:rFonts w:cs="Times New Roman"/>
          <w:color w:val="000000" w:themeColor="text1"/>
          <w:szCs w:val="24"/>
          <w:shd w:val="clear" w:color="auto" w:fill="FFFFFF"/>
        </w:rPr>
      </w:pPr>
      <w:r w:rsidRPr="00890AEE">
        <w:rPr>
          <w:rFonts w:cs="Times New Roman"/>
          <w:color w:val="000000" w:themeColor="text1"/>
          <w:szCs w:val="24"/>
          <w:shd w:val="clear" w:color="auto" w:fill="FFFFFF"/>
        </w:rPr>
        <w:t>Hiscock, M. (2018). Sophoclean Suicide. </w:t>
      </w:r>
      <w:r w:rsidRPr="00890AEE">
        <w:rPr>
          <w:rFonts w:cs="Times New Roman"/>
          <w:i/>
          <w:iCs/>
          <w:color w:val="000000" w:themeColor="text1"/>
          <w:szCs w:val="24"/>
          <w:shd w:val="clear" w:color="auto" w:fill="FFFFFF"/>
        </w:rPr>
        <w:t>Classical Antiquity</w:t>
      </w:r>
      <w:r w:rsidRPr="00890AEE">
        <w:rPr>
          <w:rFonts w:cs="Times New Roman"/>
          <w:color w:val="000000" w:themeColor="text1"/>
          <w:szCs w:val="24"/>
          <w:shd w:val="clear" w:color="auto" w:fill="FFFFFF"/>
        </w:rPr>
        <w:t>, </w:t>
      </w:r>
      <w:r w:rsidRPr="00890AEE">
        <w:rPr>
          <w:rFonts w:cs="Times New Roman"/>
          <w:i/>
          <w:iCs/>
          <w:color w:val="000000" w:themeColor="text1"/>
          <w:szCs w:val="24"/>
          <w:shd w:val="clear" w:color="auto" w:fill="FFFFFF"/>
        </w:rPr>
        <w:t>37</w:t>
      </w:r>
      <w:r w:rsidRPr="00890AEE">
        <w:rPr>
          <w:rFonts w:cs="Times New Roman"/>
          <w:color w:val="000000" w:themeColor="text1"/>
          <w:szCs w:val="24"/>
          <w:shd w:val="clear" w:color="auto" w:fill="FFFFFF"/>
        </w:rPr>
        <w:t>(1), 1-30.</w:t>
      </w:r>
    </w:p>
    <w:p w:rsidR="006F70C2" w:rsidRPr="00890AEE" w:rsidRDefault="006F70C2">
      <w:pPr>
        <w:jc w:val="center"/>
        <w:rPr>
          <w:rFonts w:cs="Times New Roman"/>
          <w:szCs w:val="24"/>
        </w:rPr>
      </w:pPr>
    </w:p>
    <w:sectPr w:rsidR="006F70C2" w:rsidRPr="00890AEE" w:rsidSect="007D5F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979" w:rsidRDefault="00E10979" w:rsidP="007D5FF7">
      <w:pPr>
        <w:spacing w:after="0" w:line="240" w:lineRule="auto"/>
      </w:pPr>
      <w:r>
        <w:separator/>
      </w:r>
    </w:p>
  </w:endnote>
  <w:endnote w:type="continuationSeparator" w:id="1">
    <w:p w:rsidR="00E10979" w:rsidRDefault="00E10979" w:rsidP="007D5F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979" w:rsidRDefault="00E10979" w:rsidP="007D5FF7">
      <w:pPr>
        <w:spacing w:after="0" w:line="240" w:lineRule="auto"/>
      </w:pPr>
      <w:r>
        <w:separator/>
      </w:r>
    </w:p>
  </w:footnote>
  <w:footnote w:type="continuationSeparator" w:id="1">
    <w:p w:rsidR="00E10979" w:rsidRDefault="00E10979" w:rsidP="007D5F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7304489"/>
      <w:docPartObj>
        <w:docPartGallery w:val="Page Numbers (Top of Page)"/>
        <w:docPartUnique/>
      </w:docPartObj>
    </w:sdtPr>
    <w:sdtEndPr>
      <w:rPr>
        <w:noProof/>
      </w:rPr>
    </w:sdtEndPr>
    <w:sdtContent>
      <w:p w:rsidR="007D5FF7" w:rsidRDefault="007D5FF7" w:rsidP="005F5B64">
        <w:pPr>
          <w:pStyle w:val="Header"/>
          <w:ind w:firstLine="0"/>
        </w:pPr>
        <w:r>
          <w:t>ANTIGONE.</w:t>
        </w:r>
        <w:r>
          <w:tab/>
        </w:r>
        <w:r>
          <w:tab/>
        </w:r>
        <w:r w:rsidR="00F70FD2">
          <w:fldChar w:fldCharType="begin"/>
        </w:r>
        <w:r>
          <w:instrText xml:space="preserve"> PAGE   \* MERGEFORMAT </w:instrText>
        </w:r>
        <w:r w:rsidR="00F70FD2">
          <w:fldChar w:fldCharType="separate"/>
        </w:r>
        <w:r w:rsidR="00D529D1">
          <w:rPr>
            <w:noProof/>
          </w:rPr>
          <w:t>6</w:t>
        </w:r>
        <w:r w:rsidR="00F70FD2">
          <w:rPr>
            <w:noProof/>
          </w:rPr>
          <w:fldChar w:fldCharType="end"/>
        </w:r>
      </w:p>
    </w:sdtContent>
  </w:sdt>
  <w:p w:rsidR="007D5FF7" w:rsidRDefault="007D5F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F7" w:rsidRDefault="007D5FF7" w:rsidP="005F5B64">
    <w:pPr>
      <w:pStyle w:val="Header"/>
      <w:ind w:firstLine="0"/>
    </w:pPr>
    <w:r>
      <w:t>Running head: ANTIGONE.</w:t>
    </w:r>
    <w:r>
      <w:tab/>
    </w:r>
    <w:r>
      <w:tab/>
    </w:r>
    <w:sdt>
      <w:sdtPr>
        <w:id w:val="-1680729837"/>
        <w:docPartObj>
          <w:docPartGallery w:val="Page Numbers (Top of Page)"/>
          <w:docPartUnique/>
        </w:docPartObj>
      </w:sdtPr>
      <w:sdtEndPr>
        <w:rPr>
          <w:noProof/>
        </w:rPr>
      </w:sdtEndPr>
      <w:sdtContent>
        <w:r w:rsidR="00F70FD2">
          <w:fldChar w:fldCharType="begin"/>
        </w:r>
        <w:r>
          <w:instrText xml:space="preserve"> PAGE   \* MERGEFORMAT </w:instrText>
        </w:r>
        <w:r w:rsidR="00F70FD2">
          <w:fldChar w:fldCharType="separate"/>
        </w:r>
        <w:r w:rsidR="00D529D1">
          <w:rPr>
            <w:noProof/>
          </w:rPr>
          <w:t>1</w:t>
        </w:r>
        <w:r w:rsidR="00F70FD2">
          <w:rPr>
            <w:noProof/>
          </w:rPr>
          <w:fldChar w:fldCharType="end"/>
        </w:r>
      </w:sdtContent>
    </w:sdt>
  </w:p>
  <w:p w:rsidR="007D5FF7" w:rsidRDefault="007D5FF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D5FF7"/>
    <w:rsid w:val="00182C44"/>
    <w:rsid w:val="00185813"/>
    <w:rsid w:val="00197DD6"/>
    <w:rsid w:val="001C074F"/>
    <w:rsid w:val="002A2824"/>
    <w:rsid w:val="00372EFF"/>
    <w:rsid w:val="00376035"/>
    <w:rsid w:val="00442455"/>
    <w:rsid w:val="004879DC"/>
    <w:rsid w:val="004D2ADD"/>
    <w:rsid w:val="004F5EC2"/>
    <w:rsid w:val="005F3900"/>
    <w:rsid w:val="005F5B64"/>
    <w:rsid w:val="00621582"/>
    <w:rsid w:val="00682C77"/>
    <w:rsid w:val="006965E4"/>
    <w:rsid w:val="006F70C2"/>
    <w:rsid w:val="00794469"/>
    <w:rsid w:val="007B6A7A"/>
    <w:rsid w:val="007D5FF7"/>
    <w:rsid w:val="007F1CDA"/>
    <w:rsid w:val="0080196E"/>
    <w:rsid w:val="008209CA"/>
    <w:rsid w:val="00846CDC"/>
    <w:rsid w:val="00890AEE"/>
    <w:rsid w:val="008C40E4"/>
    <w:rsid w:val="008E1A9E"/>
    <w:rsid w:val="00925007"/>
    <w:rsid w:val="00942BBC"/>
    <w:rsid w:val="0094488E"/>
    <w:rsid w:val="00950837"/>
    <w:rsid w:val="009F2D4A"/>
    <w:rsid w:val="009F33B6"/>
    <w:rsid w:val="00A06298"/>
    <w:rsid w:val="00A7108E"/>
    <w:rsid w:val="00A77A07"/>
    <w:rsid w:val="00A95A9D"/>
    <w:rsid w:val="00AB4F64"/>
    <w:rsid w:val="00B22372"/>
    <w:rsid w:val="00B2579B"/>
    <w:rsid w:val="00BB4DD6"/>
    <w:rsid w:val="00C51546"/>
    <w:rsid w:val="00C711AC"/>
    <w:rsid w:val="00D036EB"/>
    <w:rsid w:val="00D30B74"/>
    <w:rsid w:val="00D51594"/>
    <w:rsid w:val="00D529D1"/>
    <w:rsid w:val="00D55BE5"/>
    <w:rsid w:val="00DA76DF"/>
    <w:rsid w:val="00DC08B5"/>
    <w:rsid w:val="00E10979"/>
    <w:rsid w:val="00E8553A"/>
    <w:rsid w:val="00EF48DB"/>
    <w:rsid w:val="00F34A57"/>
    <w:rsid w:val="00F51EBB"/>
    <w:rsid w:val="00F70FD2"/>
    <w:rsid w:val="00FB1D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D4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FF7"/>
    <w:rPr>
      <w:rFonts w:ascii="Times New Roman" w:hAnsi="Times New Roman"/>
      <w:sz w:val="24"/>
    </w:rPr>
  </w:style>
  <w:style w:type="paragraph" w:styleId="Footer">
    <w:name w:val="footer"/>
    <w:basedOn w:val="Normal"/>
    <w:link w:val="FooterChar"/>
    <w:uiPriority w:val="99"/>
    <w:unhideWhenUsed/>
    <w:rsid w:val="007D5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FF7"/>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1114</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2019-05-03T12:17:00Z</dcterms:created>
  <dcterms:modified xsi:type="dcterms:W3CDTF">2019-05-03T12:17:00Z</dcterms:modified>
</cp:coreProperties>
</file>